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14.10.2022 N 687</w:t>
              <w:br/>
              <w:t xml:space="preserve">(ред. от 02.04.2025)</w:t>
              <w:br/>
              <w:t xml:space="preserve">"Об утверждении состава сведений, включаемых в таксационное описание лесосеки, порядка составления таксационного описания лесосеки, требований к его формату в электронной форме, порядка определения несоответствия таксационного описания информации о фактическом состоянии лесосеки, формы таксационного описания лесосеки"</w:t>
              <w:br/>
              <w:t xml:space="preserve">(Зарегистрировано в Минюсте России 21.11.2022 N 71045)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25.02.2026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21 ноября 2022 г. N 71045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14 октября 2022 г. N 687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СОСТАВА</w:t>
      </w:r>
    </w:p>
    <w:p>
      <w:pPr>
        <w:pStyle w:val="2"/>
        <w:jc w:val="center"/>
      </w:pPr>
      <w:r>
        <w:rPr>
          <w:sz w:val="24"/>
        </w:rPr>
        <w:t xml:space="preserve">СВЕДЕНИЙ, ВКЛЮЧАЕМЫХ В ТАКСАЦИОННОЕ ОПИСАНИЕ ЛЕСОСЕКИ,</w:t>
      </w:r>
    </w:p>
    <w:p>
      <w:pPr>
        <w:pStyle w:val="2"/>
        <w:jc w:val="center"/>
      </w:pPr>
      <w:r>
        <w:rPr>
          <w:sz w:val="24"/>
        </w:rPr>
        <w:t xml:space="preserve">ПОРЯДКА СОСТАВЛЕНИЯ ТАКСАЦИОННОГО ОПИСАНИЯ ЛЕСОСЕКИ,</w:t>
      </w:r>
    </w:p>
    <w:p>
      <w:pPr>
        <w:pStyle w:val="2"/>
        <w:jc w:val="center"/>
      </w:pPr>
      <w:r>
        <w:rPr>
          <w:sz w:val="24"/>
        </w:rPr>
        <w:t xml:space="preserve">ТРЕБОВАНИЙ К ЕГО ФОРМАТУ В ЭЛЕКТРОННОЙ ФОРМЕ, ПОРЯДКА</w:t>
      </w:r>
    </w:p>
    <w:p>
      <w:pPr>
        <w:pStyle w:val="2"/>
        <w:jc w:val="center"/>
      </w:pPr>
      <w:r>
        <w:rPr>
          <w:sz w:val="24"/>
        </w:rPr>
        <w:t xml:space="preserve">ОПРЕДЕЛЕНИЯ НЕСООТВЕТСТВИЯ ТАКСАЦИОННОГО ОПИСАНИЯ</w:t>
      </w:r>
    </w:p>
    <w:p>
      <w:pPr>
        <w:pStyle w:val="2"/>
        <w:jc w:val="center"/>
      </w:pPr>
      <w:r>
        <w:rPr>
          <w:sz w:val="24"/>
        </w:rPr>
        <w:t xml:space="preserve">ИНФОРМАЦИИ О ФАКТИЧЕСКОМ СОСТОЯНИИ ЛЕСОСЕКИ, ФОРМЫ</w:t>
      </w:r>
    </w:p>
    <w:p>
      <w:pPr>
        <w:pStyle w:val="2"/>
        <w:jc w:val="center"/>
      </w:pPr>
      <w:r>
        <w:rPr>
          <w:sz w:val="24"/>
        </w:rPr>
        <w:t xml:space="preserve">ТАКСАЦИОННОГО ОПИСАНИЯ ЛЕСОСЕКИ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8" w:tooltip="Приказ Минприроды России от 02.04.2025 N 168 &quot;О внесении изменения в состав сведений, включаемых в таксационное описание лесосеки, порядок составления таксационного описания лесосеки, требования к его формату в электронной форме, порядок определения несоответствия таксационного описания информации о фактическом состоянии лесосеки, утвержденные приказом Министерства природных ресурсов и экологии Российской Федерации от 14 октября 2022 г. N 687&quot; (Зарегистрировано в Минюсте России 13.05.2025 N 82135) {КонсультантПлюс}">
              <w:r>
                <w:rPr>
                  <w:sz w:val="24"/>
                  <w:color w:val="0000ff"/>
                </w:rPr>
                <w:t xml:space="preserve">Приказа</w:t>
              </w:r>
            </w:hyperlink>
            <w:r>
              <w:rPr>
                <w:sz w:val="24"/>
                <w:color w:val="392c69"/>
              </w:rPr>
              <w:t xml:space="preserve"> Минприроды России от 02.04.2025 N 168)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7 статьи 23.4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2021, N 27, ст. 5132) и </w:t>
      </w:r>
      <w:hyperlink w:history="0" r:id="rId10" w:tooltip="Постановление Правительства РФ от 11.11.2015 N 1219 (ред. от 24.04.2025) &quot;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&quot; (с изм. и доп., вступ. в силу с 01.09.2025) {КонсультантПлюс}">
        <w:r>
          <w:rPr>
            <w:sz w:val="24"/>
            <w:color w:val="0000ff"/>
          </w:rPr>
          <w:t xml:space="preserve">подпунктом 5.2.165(19) пункта 5</w:t>
        </w:r>
      </w:hyperlink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6586; 2021, N 45, ст. 7523), приказываю: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Утвердить:</w:t>
      </w:r>
    </w:p>
    <w:p>
      <w:pPr>
        <w:pStyle w:val="0"/>
        <w:spacing w:before="240" w:lineRule="auto"/>
        <w:ind w:firstLine="540"/>
        <w:jc w:val="both"/>
      </w:pPr>
      <w:hyperlink w:history="0" w:anchor="P37" w:tooltip="СОСТАВ">
        <w:r>
          <w:rPr>
            <w:sz w:val="24"/>
            <w:color w:val="0000ff"/>
          </w:rPr>
          <w:t xml:space="preserve">состав</w:t>
        </w:r>
      </w:hyperlink>
      <w:r>
        <w:rPr>
          <w:sz w:val="24"/>
        </w:rPr>
        <w:t xml:space="preserve"> сведений, включаемых в таксационное описание лесосеки, порядок составления таксационного описания лесосеки, требования к его формату в электронной форме, порядок определения несоответствия таксационного описания информации о фактическом состоянии лесосеки согласно приложению N 1 к настоящему приказу;</w:t>
      </w:r>
    </w:p>
    <w:p>
      <w:pPr>
        <w:pStyle w:val="0"/>
        <w:spacing w:before="240" w:lineRule="auto"/>
        <w:ind w:firstLine="540"/>
        <w:jc w:val="both"/>
      </w:pPr>
      <w:hyperlink w:history="0" w:anchor="P120" w:tooltip="                   Таксационное описание лесосеки N ___">
        <w:r>
          <w:rPr>
            <w:sz w:val="24"/>
            <w:color w:val="0000ff"/>
          </w:rPr>
          <w:t xml:space="preserve">форму</w:t>
        </w:r>
      </w:hyperlink>
      <w:r>
        <w:rPr>
          <w:sz w:val="24"/>
        </w:rPr>
        <w:t xml:space="preserve"> таксационного описания лесосеки согласно приложению N 2 к настоящему приказу.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Настоящий приказ вступает в силу с 1 марта 2023 г. и действует до 1 марта 2029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А.А.КОЗЛОВ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14.10.2022 N 687</w:t>
      </w:r>
    </w:p>
    <w:p>
      <w:pPr>
        <w:pStyle w:val="0"/>
        <w:jc w:val="both"/>
      </w:pPr>
      <w:r>
        <w:rPr>
          <w:sz w:val="24"/>
        </w:rPr>
      </w:r>
    </w:p>
    <w:bookmarkStart w:id="37" w:name="P37"/>
    <w:bookmarkEnd w:id="37"/>
    <w:p>
      <w:pPr>
        <w:pStyle w:val="2"/>
        <w:jc w:val="center"/>
      </w:pPr>
      <w:r>
        <w:rPr>
          <w:sz w:val="24"/>
        </w:rPr>
        <w:t xml:space="preserve">СОСТАВ</w:t>
      </w:r>
    </w:p>
    <w:p>
      <w:pPr>
        <w:pStyle w:val="2"/>
        <w:jc w:val="center"/>
      </w:pPr>
      <w:r>
        <w:rPr>
          <w:sz w:val="24"/>
        </w:rPr>
        <w:t xml:space="preserve">СВЕДЕНИЙ, ВКЛЮЧАЕМЫХ В ТАКСАЦИОННОЕ ОПИСАНИЕ ЛЕСОСЕКИ,</w:t>
      </w:r>
    </w:p>
    <w:p>
      <w:pPr>
        <w:pStyle w:val="2"/>
        <w:jc w:val="center"/>
      </w:pPr>
      <w:r>
        <w:rPr>
          <w:sz w:val="24"/>
        </w:rPr>
        <w:t xml:space="preserve">ПОРЯДОК СОСТАВЛЕНИЯ ТАКСАЦИОННОГО ОПИСАНИЯ ЛЕСОСЕКИ,</w:t>
      </w:r>
    </w:p>
    <w:p>
      <w:pPr>
        <w:pStyle w:val="2"/>
        <w:jc w:val="center"/>
      </w:pPr>
      <w:r>
        <w:rPr>
          <w:sz w:val="24"/>
        </w:rPr>
        <w:t xml:space="preserve">ТРЕБОВАНИЯ К ЕГО ФОРМАТУ В ЭЛЕКТРОННОЙ ФОРМЕ, ПОРЯДОК</w:t>
      </w:r>
    </w:p>
    <w:p>
      <w:pPr>
        <w:pStyle w:val="2"/>
        <w:jc w:val="center"/>
      </w:pPr>
      <w:r>
        <w:rPr>
          <w:sz w:val="24"/>
        </w:rPr>
        <w:t xml:space="preserve">ОПРЕДЕЛЕНИЯ НЕСООТВЕТСТВИЯ ТАКСАЦИОННОГО ОПИСАНИЯ</w:t>
      </w:r>
    </w:p>
    <w:p>
      <w:pPr>
        <w:pStyle w:val="2"/>
        <w:jc w:val="center"/>
      </w:pPr>
      <w:r>
        <w:rPr>
          <w:sz w:val="24"/>
        </w:rPr>
        <w:t xml:space="preserve">ИНФОРМАЦИИ О ФАКТИЧЕСКОМ СОСТОЯНИИ ЛЕСОСЕКИ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11" w:tooltip="Приказ Минприроды России от 02.04.2025 N 168 &quot;О внесении изменения в состав сведений, включаемых в таксационное описание лесосеки, порядок составления таксационного описания лесосеки, требования к его формату в электронной форме, порядок определения несоответствия таксационного описания информации о фактическом состоянии лесосеки, утвержденные приказом Министерства природных ресурсов и экологии Российской Федерации от 14 октября 2022 г. N 687&quot; (Зарегистрировано в Минюсте России 13.05.2025 N 82135) {КонсультантПлюс}">
              <w:r>
                <w:rPr>
                  <w:sz w:val="24"/>
                  <w:color w:val="0000ff"/>
                </w:rPr>
                <w:t xml:space="preserve">Приказа</w:t>
              </w:r>
            </w:hyperlink>
            <w:r>
              <w:rPr>
                <w:sz w:val="24"/>
                <w:color w:val="392c69"/>
              </w:rPr>
              <w:t xml:space="preserve"> Минприроды России от 02.04.2025 N 168)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I. Состав сведений, включаемых в таксационное</w:t>
      </w:r>
    </w:p>
    <w:p>
      <w:pPr>
        <w:pStyle w:val="2"/>
        <w:jc w:val="center"/>
      </w:pPr>
      <w:r>
        <w:rPr>
          <w:sz w:val="24"/>
        </w:rPr>
        <w:t xml:space="preserve">описание лесосеки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</w:t>
      </w:r>
      <w:hyperlink w:history="0" w:anchor="P125" w:tooltip="N выдела">
        <w:r>
          <w:rPr>
            <w:sz w:val="24"/>
            <w:color w:val="0000ff"/>
          </w:rPr>
          <w:t xml:space="preserve">графе</w:t>
        </w:r>
      </w:hyperlink>
      <w:r>
        <w:rPr>
          <w:sz w:val="24"/>
        </w:rPr>
        <w:t xml:space="preserve"> "N выдела" указывается соответствующий номер лесотаксационного выдела.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</w:t>
      </w:r>
      <w:hyperlink w:history="0" w:anchor="P126" w:tooltip="Площадь выдела, га">
        <w:r>
          <w:rPr>
            <w:sz w:val="24"/>
            <w:color w:val="0000ff"/>
          </w:rPr>
          <w:t xml:space="preserve">графе</w:t>
        </w:r>
      </w:hyperlink>
      <w:r>
        <w:rPr>
          <w:sz w:val="24"/>
        </w:rPr>
        <w:t xml:space="preserve"> "Площадь выдела, га" указывается общая площадь лесотаксационного выдела по материалам лесоустройства в гектарах.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</w:t>
      </w:r>
      <w:hyperlink w:history="0" w:anchor="P127" w:tooltip="Площадь лесосеки на выделе, га">
        <w:r>
          <w:rPr>
            <w:sz w:val="24"/>
            <w:color w:val="0000ff"/>
          </w:rPr>
          <w:t xml:space="preserve">графе</w:t>
        </w:r>
      </w:hyperlink>
      <w:r>
        <w:rPr>
          <w:sz w:val="24"/>
        </w:rPr>
        <w:t xml:space="preserve"> "Площадь лесосеки на выделе, га" указывается площадь лесосеки, расположенная в границах лесотаксационного выдела в гектарах.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В </w:t>
      </w:r>
      <w:hyperlink w:history="0" w:anchor="P128" w:tooltip="Состав лесного насаждения">
        <w:r>
          <w:rPr>
            <w:sz w:val="24"/>
            <w:color w:val="0000ff"/>
          </w:rPr>
          <w:t xml:space="preserve">графе</w:t>
        </w:r>
      </w:hyperlink>
      <w:r>
        <w:rPr>
          <w:sz w:val="24"/>
        </w:rPr>
        <w:t xml:space="preserve"> "Состав лесного насаждения" указывается состав лесного насаждения.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</w:t>
      </w:r>
      <w:hyperlink w:history="0" w:anchor="P129" w:tooltip="Ярус">
        <w:r>
          <w:rPr>
            <w:sz w:val="24"/>
            <w:color w:val="0000ff"/>
          </w:rPr>
          <w:t xml:space="preserve">графе</w:t>
        </w:r>
      </w:hyperlink>
      <w:r>
        <w:rPr>
          <w:sz w:val="24"/>
        </w:rPr>
        <w:t xml:space="preserve"> "Ярус" указывается номер яруса лесного насаждения.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</w:t>
      </w:r>
      <w:hyperlink w:history="0" w:anchor="P130" w:tooltip="Высота яруса, м">
        <w:r>
          <w:rPr>
            <w:sz w:val="24"/>
            <w:color w:val="0000ff"/>
          </w:rPr>
          <w:t xml:space="preserve">графе</w:t>
        </w:r>
      </w:hyperlink>
      <w:r>
        <w:rPr>
          <w:sz w:val="24"/>
        </w:rPr>
        <w:t xml:space="preserve"> "Высота яруса, м" указывается высота яруса в метрах.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 </w:t>
      </w:r>
      <w:hyperlink w:history="0" w:anchor="P131" w:tooltip="Порода">
        <w:r>
          <w:rPr>
            <w:sz w:val="24"/>
            <w:color w:val="0000ff"/>
          </w:rPr>
          <w:t xml:space="preserve">графе</w:t>
        </w:r>
      </w:hyperlink>
      <w:r>
        <w:rPr>
          <w:sz w:val="24"/>
        </w:rPr>
        <w:t xml:space="preserve"> "Порода" указывается название каждой древесной породы (в отдельных строках), запас которой определен на соответствующей лесосеке.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В </w:t>
      </w:r>
      <w:hyperlink w:history="0" w:anchor="P132" w:tooltip="Возраст, лет">
        <w:r>
          <w:rPr>
            <w:sz w:val="24"/>
            <w:color w:val="0000ff"/>
          </w:rPr>
          <w:t xml:space="preserve">графе</w:t>
        </w:r>
      </w:hyperlink>
      <w:r>
        <w:rPr>
          <w:sz w:val="24"/>
        </w:rPr>
        <w:t xml:space="preserve"> "Возраст, лет" указывается средний возраст преобладающей древесной породы в годах.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В </w:t>
      </w:r>
      <w:hyperlink w:history="0" w:anchor="P133" w:tooltip="Высота, м">
        <w:r>
          <w:rPr>
            <w:sz w:val="24"/>
            <w:color w:val="0000ff"/>
          </w:rPr>
          <w:t xml:space="preserve">графе</w:t>
        </w:r>
      </w:hyperlink>
      <w:r>
        <w:rPr>
          <w:sz w:val="24"/>
        </w:rPr>
        <w:t xml:space="preserve"> "Высота, м" указывается средняя высота соответствующей древесной породы в метрах.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В </w:t>
      </w:r>
      <w:hyperlink w:history="0" w:anchor="P134" w:tooltip="Диаметр, см">
        <w:r>
          <w:rPr>
            <w:sz w:val="24"/>
            <w:color w:val="0000ff"/>
          </w:rPr>
          <w:t xml:space="preserve">графе</w:t>
        </w:r>
      </w:hyperlink>
      <w:r>
        <w:rPr>
          <w:sz w:val="24"/>
        </w:rPr>
        <w:t xml:space="preserve"> "Диаметр, см" указывается средний диаметр соответствующей древесной породы в сантиметрах.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В </w:t>
      </w:r>
      <w:hyperlink w:history="0" w:anchor="P135" w:tooltip="Бонитет">
        <w:r>
          <w:rPr>
            <w:sz w:val="24"/>
            <w:color w:val="0000ff"/>
          </w:rPr>
          <w:t xml:space="preserve">графе</w:t>
        </w:r>
      </w:hyperlink>
      <w:r>
        <w:rPr>
          <w:sz w:val="24"/>
        </w:rPr>
        <w:t xml:space="preserve"> "Бонитет" указывается бонитет насаждения.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В </w:t>
      </w:r>
      <w:hyperlink w:history="0" w:anchor="P136" w:tooltip="Полнота">
        <w:r>
          <w:rPr>
            <w:sz w:val="24"/>
            <w:color w:val="0000ff"/>
          </w:rPr>
          <w:t xml:space="preserve">графе</w:t>
        </w:r>
      </w:hyperlink>
      <w:r>
        <w:rPr>
          <w:sz w:val="24"/>
        </w:rPr>
        <w:t xml:space="preserve"> "Полнота" указывается относительная полнота насаждения.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13. В </w:t>
      </w:r>
      <w:hyperlink w:history="0" w:anchor="P137" w:tooltip="Запас сырорастущего леса, м3">
        <w:r>
          <w:rPr>
            <w:sz w:val="24"/>
            <w:color w:val="0000ff"/>
          </w:rPr>
          <w:t xml:space="preserve">графе</w:t>
        </w:r>
      </w:hyperlink>
      <w:r>
        <w:rPr>
          <w:sz w:val="24"/>
        </w:rPr>
        <w:t xml:space="preserve"> "Запас сырорастущего леса, м</w:t>
      </w:r>
      <w:r>
        <w:rPr>
          <w:sz w:val="24"/>
          <w:vertAlign w:val="superscript"/>
        </w:rPr>
        <w:t xml:space="preserve">3</w:t>
      </w:r>
      <w:r>
        <w:rPr>
          <w:sz w:val="24"/>
        </w:rPr>
        <w:t xml:space="preserve">":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 </w:t>
      </w:r>
      <w:hyperlink w:history="0" w:anchor="P142" w:tooltip="на 1 га">
        <w:r>
          <w:rPr>
            <w:sz w:val="24"/>
            <w:color w:val="0000ff"/>
          </w:rPr>
          <w:t xml:space="preserve">подграфе</w:t>
        </w:r>
      </w:hyperlink>
      <w:r>
        <w:rPr>
          <w:sz w:val="24"/>
        </w:rPr>
        <w:t xml:space="preserve"> "на 1 га" указывается запас сырорастущей древесины в насаждении на один гектар в метрах кубических;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 </w:t>
      </w:r>
      <w:hyperlink w:history="0" w:anchor="P143" w:tooltip="общий на выдел">
        <w:r>
          <w:rPr>
            <w:sz w:val="24"/>
            <w:color w:val="0000ff"/>
          </w:rPr>
          <w:t xml:space="preserve">подграфе</w:t>
        </w:r>
      </w:hyperlink>
      <w:r>
        <w:rPr>
          <w:sz w:val="24"/>
        </w:rPr>
        <w:t xml:space="preserve"> "общий на выдел" указывается общий запас древесины на выделе (части выдела, попадающего в границы лесосеки) в метрах кубических;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в </w:t>
      </w:r>
      <w:hyperlink w:history="0" w:anchor="P144" w:tooltip="в том числе по древесным породам">
        <w:r>
          <w:rPr>
            <w:sz w:val="24"/>
            <w:color w:val="0000ff"/>
          </w:rPr>
          <w:t xml:space="preserve">подграфе</w:t>
        </w:r>
      </w:hyperlink>
      <w:r>
        <w:rPr>
          <w:sz w:val="24"/>
        </w:rPr>
        <w:t xml:space="preserve"> "в том числе по древесным породам" указывается запас по каждой древесной породе в метрах кубических.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14. В </w:t>
      </w:r>
      <w:hyperlink w:history="0" w:anchor="P138" w:tooltip="Класс товарности">
        <w:r>
          <w:rPr>
            <w:sz w:val="24"/>
            <w:color w:val="0000ff"/>
          </w:rPr>
          <w:t xml:space="preserve">графе</w:t>
        </w:r>
      </w:hyperlink>
      <w:r>
        <w:rPr>
          <w:sz w:val="24"/>
        </w:rPr>
        <w:t xml:space="preserve"> "Класс товарности" указывается класс товарности для соответствующей древесной породы.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15. В </w:t>
      </w:r>
      <w:hyperlink w:history="0" w:anchor="P139" w:tooltip="Объем заготовки, м3">
        <w:r>
          <w:rPr>
            <w:sz w:val="24"/>
            <w:color w:val="0000ff"/>
          </w:rPr>
          <w:t xml:space="preserve">графе</w:t>
        </w:r>
      </w:hyperlink>
      <w:r>
        <w:rPr>
          <w:sz w:val="24"/>
        </w:rPr>
        <w:t xml:space="preserve"> "Объем заготовки, м</w:t>
      </w:r>
      <w:r>
        <w:rPr>
          <w:sz w:val="24"/>
          <w:vertAlign w:val="superscript"/>
        </w:rPr>
        <w:t xml:space="preserve">3</w:t>
      </w:r>
      <w:r>
        <w:rPr>
          <w:sz w:val="24"/>
        </w:rPr>
        <w:t xml:space="preserve">" указывается определенный при таксации лесосеки ликвидный объем подлежащей заготовке древесины по породам с точностью до десятых долей кубических метров.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16. В </w:t>
      </w:r>
      <w:hyperlink w:history="0" w:anchor="P146" w:tooltip="Характеристики">
        <w:r>
          <w:rPr>
            <w:sz w:val="24"/>
            <w:color w:val="0000ff"/>
          </w:rPr>
          <w:t xml:space="preserve">подграфе</w:t>
        </w:r>
      </w:hyperlink>
      <w:r>
        <w:rPr>
          <w:sz w:val="24"/>
        </w:rPr>
        <w:t xml:space="preserve"> "Характеристики" графы "Дополнительные характеристики насаждения" указываются дополнительные сведения о насаждении согласно нумерации: </w:t>
      </w:r>
      <w:hyperlink w:history="0" w:anchor="P184" w:tooltip="1*">
        <w:r>
          <w:rPr>
            <w:sz w:val="24"/>
            <w:color w:val="0000ff"/>
          </w:rPr>
          <w:t xml:space="preserve">"1*"</w:t>
        </w:r>
      </w:hyperlink>
      <w:r>
        <w:rPr>
          <w:sz w:val="24"/>
        </w:rPr>
        <w:t xml:space="preserve"> - характеристика подроста, </w:t>
      </w:r>
      <w:hyperlink w:history="0" w:anchor="P204" w:tooltip="2*">
        <w:r>
          <w:rPr>
            <w:sz w:val="24"/>
            <w:color w:val="0000ff"/>
          </w:rPr>
          <w:t xml:space="preserve">"2*"</w:t>
        </w:r>
      </w:hyperlink>
      <w:r>
        <w:rPr>
          <w:sz w:val="24"/>
        </w:rPr>
        <w:t xml:space="preserve"> - наименование категории непокрытых лесной растительностью земель, </w:t>
      </w:r>
      <w:hyperlink w:history="0" w:anchor="P224" w:tooltip="3*">
        <w:r>
          <w:rPr>
            <w:sz w:val="24"/>
            <w:color w:val="0000ff"/>
          </w:rPr>
          <w:t xml:space="preserve">"3*"</w:t>
        </w:r>
      </w:hyperlink>
      <w:r>
        <w:rPr>
          <w:sz w:val="24"/>
        </w:rPr>
        <w:t xml:space="preserve"> - характеристика рельефа, </w:t>
      </w:r>
      <w:hyperlink w:history="0" w:anchor="P244" w:tooltip="4*">
        <w:r>
          <w:rPr>
            <w:sz w:val="24"/>
            <w:color w:val="0000ff"/>
          </w:rPr>
          <w:t xml:space="preserve">"4*"</w:t>
        </w:r>
      </w:hyperlink>
      <w:r>
        <w:rPr>
          <w:sz w:val="24"/>
        </w:rPr>
        <w:t xml:space="preserve"> - наименование категории нелесных земель (при наличии таких сведений в таксационном описании выдела по материалам лесоустройства сведения уточняются по итогам отвода и таксации лесосек).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17. В </w:t>
      </w:r>
      <w:hyperlink w:history="0" w:anchor="P141" w:tooltip="Хозяйственные мероприятия">
        <w:r>
          <w:rPr>
            <w:sz w:val="24"/>
            <w:color w:val="0000ff"/>
          </w:rPr>
          <w:t xml:space="preserve">графе</w:t>
        </w:r>
      </w:hyperlink>
      <w:r>
        <w:rPr>
          <w:sz w:val="24"/>
        </w:rPr>
        <w:t xml:space="preserve"> "Хозяйственные мероприятия" указываются хозяйственные мероприятия, назначенные по итогам отвода и таксации лесосек.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18. В </w:t>
      </w:r>
      <w:hyperlink w:history="0" w:anchor="P247" w:tooltip="Всего по выделу:">
        <w:r>
          <w:rPr>
            <w:sz w:val="24"/>
            <w:color w:val="0000ff"/>
          </w:rPr>
          <w:t xml:space="preserve">строке</w:t>
        </w:r>
      </w:hyperlink>
      <w:r>
        <w:rPr>
          <w:sz w:val="24"/>
        </w:rPr>
        <w:t xml:space="preserve"> "Всего по выделу" указываются объемы древесины на выделе по всем составляющим древесным породам.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19. В </w:t>
      </w:r>
      <w:hyperlink w:history="0" w:anchor="P266" w:tooltip="Итого по лесосеке:">
        <w:r>
          <w:rPr>
            <w:sz w:val="24"/>
            <w:color w:val="0000ff"/>
          </w:rPr>
          <w:t xml:space="preserve">строке</w:t>
        </w:r>
      </w:hyperlink>
      <w:r>
        <w:rPr>
          <w:sz w:val="24"/>
        </w:rPr>
        <w:t xml:space="preserve"> "Итого по лесосеке" указываются объемы древесины на лесосеке по всем составляющим древесным породам и выделам.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II. Порядок составления таксационного описания лесосеки</w:t>
      </w:r>
    </w:p>
    <w:p>
      <w:pPr>
        <w:pStyle w:val="2"/>
        <w:jc w:val="center"/>
      </w:pPr>
      <w:r>
        <w:rPr>
          <w:sz w:val="24"/>
        </w:rPr>
        <w:t xml:space="preserve">и требования к его формату в электронной форме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20. Таксационное описание лесосеки содержит информацию о количественных и качественных характеристиках лесных насаждений и объеме древесины, подлежащей заготовке на соответствующей лесосеке, и составляется на основании данных, полученных по результатам отвода и таксации лесосеки в порядке, предусмотренном </w:t>
      </w:r>
      <w:hyperlink w:history="0" r:id="rId1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11 статьи 23.3</w:t>
        </w:r>
      </w:hyperlink>
      <w:r>
        <w:rPr>
          <w:sz w:val="24"/>
        </w:rPr>
        <w:t xml:space="preserve"> Лесного кодекса Российской Федерации &lt;1&gt;.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Собрание законодательства Российской Федерации, 2006, N 50, ст. 5278; 2021, N 27, ст. 5132.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21. Таксационное описание лесосеки составляется раздельно для каждого выдела (части выдела, попадающего в границы лесосеки).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22. Таксационное описание лесосеки составляется юридическими лицами, индивидуальными предпринимателями, использующими леса и осуществляющими лесосечные работы &lt;2&gt; (далее - заинтересованное лицо), в форме электронного документа, подписанного электронной подписью &lt;3&gt;, с приложением обосновывающих материалов, предусмотренных порядком отвода и таксации лесосек &lt;4&gt;.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3" w:tooltip="Приказ Минприроды России от 02.04.2025 N 168 &quot;О внесении изменения в состав сведений, включаемых в таксационное описание лесосеки, порядок составления таксационного описания лесосеки, требования к его формату в электронной форме, порядок определения несоответствия таксационного описания информации о фактическом состоянии лесосеки, утвержденные приказом Министерства природных ресурсов и экологии Российской Федерации от 14 октября 2022 г. N 687&quot; (Зарегистрировано в Минюсте России 13.05.2025 N 82135) {КонсультантПлюс}">
        <w:r>
          <w:rPr>
            <w:sz w:val="24"/>
            <w:color w:val="0000ff"/>
          </w:rPr>
          <w:t xml:space="preserve">Приказа</w:t>
        </w:r>
      </w:hyperlink>
      <w:r>
        <w:rPr>
          <w:sz w:val="24"/>
        </w:rPr>
        <w:t xml:space="preserve"> Минприроды России от 02.04.2025 N 168)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</w:t>
      </w:r>
      <w:hyperlink w:history="0" r:id="rId1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7 статьи 23.3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2021, N 27, ст. 5132).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&lt;3&gt; </w:t>
      </w:r>
      <w:hyperlink w:history="0" r:id="rId15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23.4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2021, N 27, ст. 5132).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&lt;4&gt; </w:t>
      </w:r>
      <w:hyperlink w:history="0" r:id="rId16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11 статьи 23.3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2021, N 27, ст. 5132).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23. Формирование таксационного описания лесосеки заинтересованным лицом должно осуществляться в форме электронного документа, соответствующего </w:t>
      </w:r>
      <w:hyperlink w:history="0" w:anchor="P120" w:tooltip="                   Таксационное описание лесосеки N ___">
        <w:r>
          <w:rPr>
            <w:sz w:val="24"/>
            <w:color w:val="0000ff"/>
          </w:rPr>
          <w:t xml:space="preserve">форме</w:t>
        </w:r>
      </w:hyperlink>
      <w:r>
        <w:rPr>
          <w:sz w:val="24"/>
        </w:rPr>
        <w:t xml:space="preserve"> таксационного описания лесосеки согласно приложению N 2 к настоящему Приказу, в виде файлов в формате XML, созданных с использованием XML-схем и обеспечивающих считывание и контроль представленных данных в единой государственной автоматизированной информационной системе учета древесины и сделок с ней &lt;5&gt;.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&lt;5&gt; </w:t>
      </w:r>
      <w:hyperlink w:history="0" r:id="rId17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 50.6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2021, N 6, ст. 958). Срок действия </w:t>
      </w:r>
      <w:hyperlink w:history="0" r:id="rId1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статьи 50.6</w:t>
        </w:r>
      </w:hyperlink>
      <w:r>
        <w:rPr>
          <w:sz w:val="24"/>
        </w:rPr>
        <w:t xml:space="preserve"> Лесного кодекса Российской Федерации ограничен до 31.12.2024 (</w:t>
      </w:r>
      <w:hyperlink w:history="0" r:id="rId19" w:tooltip="Федеральный закон от 04.02.2021 N 3-ФЗ (ред. от 08.08.2024) &quot;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&quot; {КонсультантПлюс}">
        <w:r>
          <w:rPr>
            <w:sz w:val="24"/>
            <w:color w:val="0000ff"/>
          </w:rPr>
          <w:t xml:space="preserve">часть 4 статьи 5</w:t>
        </w:r>
      </w:hyperlink>
      <w:r>
        <w:rPr>
          <w:sz w:val="24"/>
        </w:rPr>
        <w:t xml:space="preserve"> Федерального закона от 4 февраля 2021 г. N 3-ФЗ "О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отношений" (Собрание законодательства Российской Федерации, 2021, N 6, ст. 958; 2022, N 13, ст. 1960).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III. Порядок определения несоответствия таксационного</w:t>
      </w:r>
    </w:p>
    <w:p>
      <w:pPr>
        <w:pStyle w:val="2"/>
        <w:jc w:val="center"/>
      </w:pPr>
      <w:r>
        <w:rPr>
          <w:sz w:val="24"/>
        </w:rPr>
        <w:t xml:space="preserve">описания информации о фактическом состоянии лесосеки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24. Таксационное описание лесосеки, составленное в форме электронного документа, направляется заинтересованным лицом в органы государственной власти, органы местного самоуправления, осуществляющие полномочия, определенные в соответствии со </w:t>
      </w:r>
      <w:hyperlink w:history="0" r:id="rId2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81</w:t>
        </w:r>
      </w:hyperlink>
      <w:r>
        <w:rPr>
          <w:sz w:val="24"/>
        </w:rPr>
        <w:t xml:space="preserve"> - </w:t>
      </w:r>
      <w:hyperlink w:history="0" r:id="rId21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84</w:t>
        </w:r>
      </w:hyperlink>
      <w:r>
        <w:rPr>
          <w:sz w:val="24"/>
        </w:rPr>
        <w:t xml:space="preserve"> Лесного кодекса Российской Федерации (далее - уполномоченные органы государственной власти, органы местного самоуправления), не позднее 15 дней до дня начала лесосечных работ &lt;6&gt;.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&lt;6&gt; </w:t>
      </w:r>
      <w:hyperlink w:history="0" r:id="rId2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23.4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2021, N 27, ст. 5132).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25. Уполномоченные органы государственной власти, органы местного самоуправления проверяют соответствие сведений таксационного описания лесосеки информации о фактическом состоянии лесосеки, имеющейся в распоряжении уполномоченных органов государственной власти, органов местного самоуправления (далее - информация о фактическом состоянии лесосеки), в течение 3 рабочих дней с даты поступления таксационного описания лесосек от заинтересованного лица.</w:t>
      </w:r>
    </w:p>
    <w:bookmarkStart w:id="99" w:name="P99"/>
    <w:bookmarkEnd w:id="9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26. Информация о фактическом состоянии лесосеки включает документированную информацию, содержащуюся в государственном лесном реестре, в случае, если ее давность составляет менее 10 лет, а также информацию, содержащуюся в актах лесопатологических обследований, актах иных обследований, проводящихся в том числе при осуществлении государственного экологического мониторинга, проведении мероприятий в рамках государственной инвентаризации лесов.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27. В случае если у уполномоченных органов государственной власти, органов местного самоуправления отсутствуют сведения о фактическом состоянии лесосеки, указанные в </w:t>
      </w:r>
      <w:hyperlink w:history="0" w:anchor="P99" w:tooltip="26. Информация о фактическом состоянии лесосеки включает документированную информацию, содержащуюся в государственном лесном реестре, в случае, если ее давность составляет менее 10 лет, а также информацию, содержащуюся в актах лесопатологических обследований, актах иных обследований, проводящихся в том числе при осуществлении государственного экологического мониторинга, проведении мероприятий в рамках государственной инвентаризации лесов.">
        <w:r>
          <w:rPr>
            <w:sz w:val="24"/>
            <w:color w:val="0000ff"/>
          </w:rPr>
          <w:t xml:space="preserve">пункте 26</w:t>
        </w:r>
      </w:hyperlink>
      <w:r>
        <w:rPr>
          <w:sz w:val="24"/>
        </w:rPr>
        <w:t xml:space="preserve"> настоящего приложения, проверка соответствия сведений таксационного описания лесосеки информации, содержащейся в государственном лесном реестре, проводится только по хозяйству (хвойному, мягколиственному, твердолиственному).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расхождения данных по хозяйству таксационное описание лесосеки признается не соответствующим информации о фактическом состоянии лесосеки и проводится предварительный осмотр лесосеки &lt;7&gt;.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&lt;7&gt; </w:t>
      </w:r>
      <w:hyperlink w:history="0" r:id="rId2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3 статьи 23.4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2021, N 27, ст. 5132).</w:t>
      </w:r>
    </w:p>
    <w:p>
      <w:pPr>
        <w:pStyle w:val="0"/>
        <w:jc w:val="both"/>
      </w:pPr>
      <w:r>
        <w:rPr>
          <w:sz w:val="24"/>
        </w:rPr>
      </w:r>
    </w:p>
    <w:bookmarkStart w:id="105" w:name="P105"/>
    <w:bookmarkEnd w:id="105"/>
    <w:p>
      <w:pPr>
        <w:pStyle w:val="0"/>
        <w:ind w:firstLine="540"/>
        <w:jc w:val="both"/>
      </w:pPr>
      <w:r>
        <w:rPr>
          <w:sz w:val="24"/>
        </w:rPr>
        <w:t xml:space="preserve">28. В случае наличия у уполномоченных органов, органов местного самоуправления сведений о фактическом состоянии лесосеки, указанных в </w:t>
      </w:r>
      <w:hyperlink w:history="0" w:anchor="P99" w:tooltip="26. Информация о фактическом состоянии лесосеки включает документированную информацию, содержащуюся в государственном лесном реестре, в случае, если ее давность составляет менее 10 лет, а также информацию, содержащуюся в актах лесопатологических обследований, актах иных обследований, проводящихся в том числе при осуществлении государственного экологического мониторинга, проведении мероприятий в рамках государственной инвентаризации лесов.">
        <w:r>
          <w:rPr>
            <w:sz w:val="24"/>
            <w:color w:val="0000ff"/>
          </w:rPr>
          <w:t xml:space="preserve">пункте 26</w:t>
        </w:r>
      </w:hyperlink>
      <w:r>
        <w:rPr>
          <w:sz w:val="24"/>
        </w:rPr>
        <w:t xml:space="preserve"> настоящего приложения, соответствие таксационного описания лесосеки информации о ее фактическом состоянии проверяется по следующим параметрам: группе возраста (только для рубок ухода в средневозрастных насаждениях), общему запасу на 1 гектар, составу насаждения по преобладающей древесной породе, хозяйству.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Расхождение по группе возраста и хозяйству не допускается. В случае если в границы лесосеки попадает более 30% площади выдела, допустимые отклонения составляют: по общему запасу на 1 гектар - не более 30%, по составу насаждения - не более 2 единиц коэффициента состава по преобладающей древесной породе.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29. На основании проверки данных уполномоченными органами государственной власти, органами местного самоуправления формируется перечень параметров о соответствии (несоответствии) таксационного описания лесосеки информации о фактическом состоянии лесосеки с учетом допустимых отклонений, указанных в </w:t>
      </w:r>
      <w:hyperlink w:history="0" w:anchor="P105" w:tooltip="28. В случае наличия у уполномоченных органов, органов местного самоуправления сведений о фактическом состоянии лесосеки, указанных в пункте 26 настоящего приложения, соответствие таксационного описания лесосеки информации о ее фактическом состоянии проверяется по следующим параметрам: группе возраста (только для рубок ухода в средневозрастных насаждениях), общему запасу на 1 гектар, составу насаждения по преобладающей древесной породе, хозяйству.">
        <w:r>
          <w:rPr>
            <w:sz w:val="24"/>
            <w:color w:val="0000ff"/>
          </w:rPr>
          <w:t xml:space="preserve">пункте 28</w:t>
        </w:r>
      </w:hyperlink>
      <w:r>
        <w:rPr>
          <w:sz w:val="24"/>
        </w:rPr>
        <w:t xml:space="preserve"> настоящего приложения.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30. Таксационное описание лесосеки признается не соответствующим информации о фактическом состоянии лесосеки, имеющейся в распоряжении уполномоченных органов государственной власти, органов местного самоуправления, в случае, если данные таксационного описания лесосеки превышают допустимые отклонения, указанные в </w:t>
      </w:r>
      <w:hyperlink w:history="0" w:anchor="P105" w:tooltip="28. В случае наличия у уполномоченных органов, органов местного самоуправления сведений о фактическом состоянии лесосеки, указанных в пункте 26 настоящего приложения, соответствие таксационного описания лесосеки информации о ее фактическом состоянии проверяется по следующим параметрам: группе возраста (только для рубок ухода в средневозрастных насаждениях), общему запасу на 1 гектар, составу насаждения по преобладающей древесной породе, хозяйству.">
        <w:r>
          <w:rPr>
            <w:sz w:val="24"/>
            <w:color w:val="0000ff"/>
          </w:rPr>
          <w:t xml:space="preserve">пункте 28</w:t>
        </w:r>
      </w:hyperlink>
      <w:r>
        <w:rPr>
          <w:sz w:val="24"/>
        </w:rPr>
        <w:t xml:space="preserve"> настоящего приложения, хотя бы по одному параметру.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14.10.2022 N 687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ФОРМА</w:t>
      </w:r>
    </w:p>
    <w:p>
      <w:pPr>
        <w:pStyle w:val="0"/>
        <w:jc w:val="both"/>
      </w:pPr>
      <w:r>
        <w:rPr>
          <w:sz w:val="24"/>
        </w:rPr>
      </w:r>
    </w:p>
    <w:bookmarkStart w:id="120" w:name="P120"/>
    <w:bookmarkEnd w:id="120"/>
    <w:p>
      <w:pPr>
        <w:pStyle w:val="1"/>
        <w:jc w:val="both"/>
      </w:pPr>
      <w:r>
        <w:rPr>
          <w:sz w:val="20"/>
        </w:rPr>
        <w:t xml:space="preserve">                   Таксационное описание лесосеки N 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Лесничество ___________, участковое лесничество ___________, урочище (дача)</w:t>
      </w:r>
    </w:p>
    <w:p>
      <w:pPr>
        <w:pStyle w:val="1"/>
        <w:jc w:val="both"/>
      </w:pPr>
      <w:r>
        <w:rPr>
          <w:sz w:val="20"/>
        </w:rPr>
        <w:t xml:space="preserve">(при наличии) ____________, квартал N _____________.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24"/>
        <w:gridCol w:w="850"/>
        <w:gridCol w:w="907"/>
        <w:gridCol w:w="1020"/>
        <w:gridCol w:w="737"/>
        <w:gridCol w:w="794"/>
        <w:gridCol w:w="562"/>
        <w:gridCol w:w="680"/>
        <w:gridCol w:w="737"/>
        <w:gridCol w:w="680"/>
        <w:gridCol w:w="567"/>
        <w:gridCol w:w="624"/>
        <w:gridCol w:w="567"/>
        <w:gridCol w:w="794"/>
        <w:gridCol w:w="1474"/>
        <w:gridCol w:w="680"/>
        <w:gridCol w:w="680"/>
        <w:gridCol w:w="680"/>
        <w:gridCol w:w="850"/>
        <w:gridCol w:w="850"/>
      </w:tblGrid>
      <w:tr>
        <w:tc>
          <w:tcPr>
            <w:tcW w:w="624" w:type="dxa"/>
            <w:vMerge w:val="restart"/>
          </w:tcPr>
          <w:bookmarkStart w:id="125" w:name="P125"/>
          <w:bookmarkEnd w:id="125"/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850" w:type="dxa"/>
            <w:vMerge w:val="restart"/>
          </w:tcPr>
          <w:bookmarkStart w:id="126" w:name="P126"/>
          <w:bookmarkEnd w:id="126"/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выдела, га</w:t>
            </w:r>
          </w:p>
        </w:tc>
        <w:tc>
          <w:tcPr>
            <w:tcW w:w="907" w:type="dxa"/>
            <w:vMerge w:val="restart"/>
          </w:tcPr>
          <w:bookmarkStart w:id="127" w:name="P127"/>
          <w:bookmarkEnd w:id="127"/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лесосеки на выделе, га</w:t>
            </w:r>
          </w:p>
        </w:tc>
        <w:tc>
          <w:tcPr>
            <w:tcW w:w="1020" w:type="dxa"/>
            <w:vMerge w:val="restart"/>
          </w:tcPr>
          <w:bookmarkStart w:id="128" w:name="P128"/>
          <w:bookmarkEnd w:id="128"/>
          <w:p>
            <w:pPr>
              <w:pStyle w:val="0"/>
              <w:jc w:val="center"/>
            </w:pPr>
            <w:r>
              <w:rPr>
                <w:sz w:val="24"/>
              </w:rPr>
              <w:t xml:space="preserve">Состав лесного насаждения</w:t>
            </w:r>
          </w:p>
        </w:tc>
        <w:tc>
          <w:tcPr>
            <w:tcW w:w="737" w:type="dxa"/>
            <w:vMerge w:val="restart"/>
          </w:tcPr>
          <w:bookmarkStart w:id="129" w:name="P129"/>
          <w:bookmarkEnd w:id="129"/>
          <w:p>
            <w:pPr>
              <w:pStyle w:val="0"/>
              <w:jc w:val="center"/>
            </w:pPr>
            <w:r>
              <w:rPr>
                <w:sz w:val="24"/>
              </w:rPr>
              <w:t xml:space="preserve">Ярус</w:t>
            </w:r>
          </w:p>
        </w:tc>
        <w:tc>
          <w:tcPr>
            <w:tcW w:w="794" w:type="dxa"/>
            <w:vMerge w:val="restart"/>
          </w:tcPr>
          <w:bookmarkStart w:id="130" w:name="P130"/>
          <w:bookmarkEnd w:id="130"/>
          <w:p>
            <w:pPr>
              <w:pStyle w:val="0"/>
              <w:jc w:val="center"/>
            </w:pPr>
            <w:r>
              <w:rPr>
                <w:sz w:val="24"/>
              </w:rPr>
              <w:t xml:space="preserve">Высота яруса, м</w:t>
            </w:r>
          </w:p>
        </w:tc>
        <w:tc>
          <w:tcPr>
            <w:tcW w:w="562" w:type="dxa"/>
            <w:vMerge w:val="restart"/>
          </w:tcPr>
          <w:bookmarkStart w:id="131" w:name="P131"/>
          <w:bookmarkEnd w:id="131"/>
          <w:p>
            <w:pPr>
              <w:pStyle w:val="0"/>
              <w:jc w:val="center"/>
            </w:pPr>
            <w:r>
              <w:rPr>
                <w:sz w:val="24"/>
              </w:rPr>
              <w:t xml:space="preserve">Порода</w:t>
            </w:r>
          </w:p>
        </w:tc>
        <w:tc>
          <w:tcPr>
            <w:tcW w:w="680" w:type="dxa"/>
            <w:vMerge w:val="restart"/>
          </w:tcPr>
          <w:bookmarkStart w:id="132" w:name="P132"/>
          <w:bookmarkEnd w:id="132"/>
          <w:p>
            <w:pPr>
              <w:pStyle w:val="0"/>
              <w:jc w:val="center"/>
            </w:pPr>
            <w:r>
              <w:rPr>
                <w:sz w:val="24"/>
              </w:rPr>
              <w:t xml:space="preserve">Возраст, лет</w:t>
            </w:r>
          </w:p>
        </w:tc>
        <w:tc>
          <w:tcPr>
            <w:tcW w:w="737" w:type="dxa"/>
            <w:vMerge w:val="restart"/>
          </w:tcPr>
          <w:bookmarkStart w:id="133" w:name="P133"/>
          <w:bookmarkEnd w:id="133"/>
          <w:p>
            <w:pPr>
              <w:pStyle w:val="0"/>
              <w:jc w:val="center"/>
            </w:pPr>
            <w:r>
              <w:rPr>
                <w:sz w:val="24"/>
              </w:rPr>
              <w:t xml:space="preserve">Высота, м</w:t>
            </w:r>
          </w:p>
        </w:tc>
        <w:tc>
          <w:tcPr>
            <w:tcW w:w="680" w:type="dxa"/>
            <w:vMerge w:val="restart"/>
          </w:tcPr>
          <w:bookmarkStart w:id="134" w:name="P134"/>
          <w:bookmarkEnd w:id="134"/>
          <w:p>
            <w:pPr>
              <w:pStyle w:val="0"/>
              <w:jc w:val="center"/>
            </w:pPr>
            <w:r>
              <w:rPr>
                <w:sz w:val="24"/>
              </w:rPr>
              <w:t xml:space="preserve">Диаметр, см</w:t>
            </w:r>
          </w:p>
        </w:tc>
        <w:tc>
          <w:tcPr>
            <w:tcW w:w="567" w:type="dxa"/>
            <w:vMerge w:val="restart"/>
          </w:tcPr>
          <w:bookmarkStart w:id="135" w:name="P135"/>
          <w:bookmarkEnd w:id="135"/>
          <w:p>
            <w:pPr>
              <w:pStyle w:val="0"/>
              <w:jc w:val="center"/>
            </w:pPr>
            <w:r>
              <w:rPr>
                <w:sz w:val="24"/>
              </w:rPr>
              <w:t xml:space="preserve">Бонитет</w:t>
            </w:r>
          </w:p>
        </w:tc>
        <w:tc>
          <w:tcPr>
            <w:tcW w:w="624" w:type="dxa"/>
            <w:vMerge w:val="restart"/>
          </w:tcPr>
          <w:bookmarkStart w:id="136" w:name="P136"/>
          <w:bookmarkEnd w:id="136"/>
          <w:p>
            <w:pPr>
              <w:pStyle w:val="0"/>
              <w:jc w:val="center"/>
            </w:pPr>
            <w:r>
              <w:rPr>
                <w:sz w:val="24"/>
              </w:rPr>
              <w:t xml:space="preserve">Полнота</w:t>
            </w:r>
          </w:p>
        </w:tc>
        <w:tc>
          <w:tcPr>
            <w:gridSpan w:val="3"/>
            <w:tcW w:w="2835" w:type="dxa"/>
          </w:tcPr>
          <w:bookmarkStart w:id="137" w:name="P137"/>
          <w:bookmarkEnd w:id="137"/>
          <w:p>
            <w:pPr>
              <w:pStyle w:val="0"/>
              <w:jc w:val="center"/>
            </w:pPr>
            <w:r>
              <w:rPr>
                <w:sz w:val="24"/>
              </w:rPr>
              <w:t xml:space="preserve">Запас сырорастущего леса,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680" w:type="dxa"/>
            <w:vMerge w:val="restart"/>
          </w:tcPr>
          <w:bookmarkStart w:id="138" w:name="P138"/>
          <w:bookmarkEnd w:id="138"/>
          <w:p>
            <w:pPr>
              <w:pStyle w:val="0"/>
              <w:jc w:val="center"/>
            </w:pPr>
            <w:r>
              <w:rPr>
                <w:sz w:val="24"/>
              </w:rPr>
              <w:t xml:space="preserve">Класс товарности</w:t>
            </w:r>
          </w:p>
        </w:tc>
        <w:tc>
          <w:tcPr>
            <w:tcW w:w="680" w:type="dxa"/>
            <w:vMerge w:val="restart"/>
          </w:tcPr>
          <w:bookmarkStart w:id="139" w:name="P139"/>
          <w:bookmarkEnd w:id="139"/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заготовки,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gridSpan w:val="2"/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Дополнительные характеристики насаждения</w:t>
            </w:r>
          </w:p>
        </w:tc>
        <w:tc>
          <w:tcPr>
            <w:tcW w:w="850" w:type="dxa"/>
            <w:vMerge w:val="restart"/>
          </w:tcPr>
          <w:bookmarkStart w:id="141" w:name="P141"/>
          <w:bookmarkEnd w:id="141"/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Хозяйственные мероприятия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</w:tcPr>
          <w:bookmarkStart w:id="142" w:name="P142"/>
          <w:bookmarkEnd w:id="142"/>
          <w:p>
            <w:pPr>
              <w:pStyle w:val="0"/>
              <w:jc w:val="center"/>
            </w:pPr>
            <w:r>
              <w:rPr>
                <w:sz w:val="24"/>
              </w:rPr>
              <w:t xml:space="preserve">на 1 га</w:t>
            </w:r>
          </w:p>
        </w:tc>
        <w:tc>
          <w:tcPr>
            <w:tcW w:w="794" w:type="dxa"/>
          </w:tcPr>
          <w:bookmarkStart w:id="143" w:name="P143"/>
          <w:bookmarkEnd w:id="143"/>
          <w:p>
            <w:pPr>
              <w:pStyle w:val="0"/>
              <w:jc w:val="center"/>
            </w:pPr>
            <w:r>
              <w:rPr>
                <w:sz w:val="24"/>
              </w:rPr>
              <w:t xml:space="preserve">общий на выдел</w:t>
            </w:r>
          </w:p>
        </w:tc>
        <w:tc>
          <w:tcPr>
            <w:tcW w:w="1474" w:type="dxa"/>
          </w:tcPr>
          <w:bookmarkStart w:id="144" w:name="P144"/>
          <w:bookmarkEnd w:id="144"/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 по древесным породам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N*</w:t>
            </w:r>
          </w:p>
        </w:tc>
        <w:tc>
          <w:tcPr>
            <w:tcW w:w="850" w:type="dxa"/>
          </w:tcPr>
          <w:bookmarkStart w:id="146" w:name="P146"/>
          <w:bookmarkEnd w:id="146"/>
          <w:p>
            <w:pPr>
              <w:pStyle w:val="0"/>
              <w:jc w:val="center"/>
            </w:pPr>
            <w:r>
              <w:rPr>
                <w:sz w:val="24"/>
              </w:rPr>
              <w:t xml:space="preserve">Характеристики</w:t>
            </w:r>
          </w:p>
        </w:tc>
        <w:tc>
          <w:tcPr>
            <w:vMerge w:val="continue"/>
          </w:tcPr>
          <w:p/>
        </w:tc>
      </w:tr>
      <w:tr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5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</w:tr>
      <w:tr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bookmarkStart w:id="184" w:name="P184"/>
          <w:bookmarkEnd w:id="184"/>
          <w:p>
            <w:pPr>
              <w:pStyle w:val="0"/>
              <w:jc w:val="center"/>
            </w:pPr>
            <w:r>
              <w:rPr>
                <w:sz w:val="24"/>
              </w:rPr>
              <w:t xml:space="preserve">1*</w:t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bookmarkStart w:id="204" w:name="P204"/>
          <w:bookmarkEnd w:id="204"/>
          <w:p>
            <w:pPr>
              <w:pStyle w:val="0"/>
              <w:jc w:val="center"/>
            </w:pPr>
            <w:r>
              <w:rPr>
                <w:sz w:val="24"/>
              </w:rPr>
              <w:t xml:space="preserve">2*</w:t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bookmarkStart w:id="224" w:name="P224"/>
          <w:bookmarkEnd w:id="224"/>
          <w:p>
            <w:pPr>
              <w:pStyle w:val="0"/>
              <w:jc w:val="center"/>
            </w:pPr>
            <w:r>
              <w:rPr>
                <w:sz w:val="24"/>
              </w:rPr>
              <w:t xml:space="preserve">3*</w:t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bookmarkStart w:id="244" w:name="P244"/>
          <w:bookmarkEnd w:id="244"/>
          <w:p>
            <w:pPr>
              <w:pStyle w:val="0"/>
              <w:jc w:val="center"/>
            </w:pPr>
            <w:r>
              <w:rPr>
                <w:sz w:val="24"/>
              </w:rPr>
              <w:t xml:space="preserve">4*</w:t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1474" w:type="dxa"/>
            <w:vAlign w:val="center"/>
          </w:tcPr>
          <w:bookmarkStart w:id="247" w:name="P247"/>
          <w:bookmarkEnd w:id="247"/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 по выделу: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56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gridSpan w:val="2"/>
            <w:tcW w:w="1474" w:type="dxa"/>
            <w:vAlign w:val="center"/>
          </w:tcPr>
          <w:bookmarkStart w:id="266" w:name="P266"/>
          <w:bookmarkEnd w:id="266"/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 по лесосеке: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56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</w:tbl>
    <w:p>
      <w:pPr>
        <w:sectPr>
          <w:headerReference w:type="default" r:id="rId24"/>
          <w:headerReference w:type="first" r:id="rId24"/>
          <w:footerReference w:type="default" r:id="rId25"/>
          <w:footerReference w:type="first" r:id="rId25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18"/>
        </w:rPr>
        <w:t xml:space="preserve">Исполнитель работ по отводу и таксации лесосеки: ___________________________________________</w:t>
      </w:r>
    </w:p>
    <w:p>
      <w:pPr>
        <w:pStyle w:val="1"/>
        <w:jc w:val="both"/>
      </w:pPr>
      <w:r>
        <w:rPr>
          <w:sz w:val="18"/>
        </w:rPr>
        <w:t xml:space="preserve">                                                 фамилия, имя, отчество (при наличии), номер</w:t>
      </w:r>
    </w:p>
    <w:p>
      <w:pPr>
        <w:pStyle w:val="1"/>
        <w:jc w:val="both"/>
      </w:pPr>
      <w:r>
        <w:rPr>
          <w:sz w:val="18"/>
        </w:rPr>
        <w:t xml:space="preserve">                                                   из реестра специалистов, имеющих право</w:t>
      </w:r>
    </w:p>
    <w:p>
      <w:pPr>
        <w:pStyle w:val="1"/>
        <w:jc w:val="both"/>
      </w:pPr>
      <w:r>
        <w:rPr>
          <w:sz w:val="18"/>
        </w:rPr>
        <w:t xml:space="preserve">                                                   на выполнение работ и оказание услуг по</w:t>
      </w:r>
    </w:p>
    <w:p>
      <w:pPr>
        <w:pStyle w:val="1"/>
        <w:jc w:val="both"/>
      </w:pPr>
      <w:r>
        <w:rPr>
          <w:sz w:val="18"/>
        </w:rPr>
        <w:t xml:space="preserve">                                                         отводу и таксации лесосек</w:t>
      </w:r>
    </w:p>
    <w:p>
      <w:pPr>
        <w:pStyle w:val="1"/>
        <w:jc w:val="both"/>
      </w:pPr>
      <w:r>
        <w:rPr>
          <w:sz w:val="18"/>
        </w:rPr>
      </w:r>
    </w:p>
    <w:p>
      <w:pPr>
        <w:pStyle w:val="1"/>
        <w:jc w:val="both"/>
      </w:pPr>
      <w:r>
        <w:rPr>
          <w:sz w:val="18"/>
        </w:rPr>
        <w:t xml:space="preserve">Юридическое  лицо,  индивидуальный  предприниматель,  использующий  леса  и</w:t>
      </w:r>
    </w:p>
    <w:p>
      <w:pPr>
        <w:pStyle w:val="1"/>
        <w:jc w:val="both"/>
      </w:pPr>
      <w:r>
        <w:rPr>
          <w:sz w:val="18"/>
        </w:rPr>
        <w:t xml:space="preserve">осуществляющий лесосечные работы, или его представитель: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05"/>
        <w:gridCol w:w="1247"/>
        <w:gridCol w:w="340"/>
        <w:gridCol w:w="2154"/>
        <w:gridCol w:w="340"/>
        <w:gridCol w:w="1191"/>
        <w:gridCol w:w="340"/>
        <w:gridCol w:w="2721"/>
      </w:tblGrid>
      <w:tr>
        <w:tc>
          <w:tcPr>
            <w:tcW w:w="70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Дата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2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должность 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подпись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2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фамилия, имя, отчество (при наличии)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14.10.2022 N 687</w:t>
            <w:br/>
            <w:t>(ред. от 02.04.2025)</w:t>
            <w:br/>
            <w:t>"Об утверждении состава сведений, включаемых в таксаци...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14.10.2022 N 687</w:t>
            <w:br/>
            <w:t>(ред. от 02.04.2025)</w:t>
            <w:br/>
            <w:t>"Об утверждении состава сведений, включаемых в таксаци...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05143&amp;date=25.02.2026&amp;dst=100006&amp;field=134" TargetMode = "External"/><Relationship Id="rId9" Type="http://schemas.openxmlformats.org/officeDocument/2006/relationships/hyperlink" Target="https://login.consultant.ru/link/?req=doc&amp;base=LAW&amp;n=523312&amp;date=25.02.2026&amp;dst=1636&amp;field=134" TargetMode = "External"/><Relationship Id="rId10" Type="http://schemas.openxmlformats.org/officeDocument/2006/relationships/hyperlink" Target="https://login.consultant.ru/link/?req=doc&amp;base=LAW&amp;n=500820&amp;date=25.02.2026&amp;dst=181&amp;field=134" TargetMode = "External"/><Relationship Id="rId11" Type="http://schemas.openxmlformats.org/officeDocument/2006/relationships/hyperlink" Target="https://login.consultant.ru/link/?req=doc&amp;base=LAW&amp;n=505143&amp;date=25.02.2026&amp;dst=100006&amp;field=134" TargetMode = "External"/><Relationship Id="rId12" Type="http://schemas.openxmlformats.org/officeDocument/2006/relationships/hyperlink" Target="https://login.consultant.ru/link/?req=doc&amp;base=LAW&amp;n=523312&amp;date=25.02.2026&amp;dst=1628&amp;field=134" TargetMode = "External"/><Relationship Id="rId13" Type="http://schemas.openxmlformats.org/officeDocument/2006/relationships/hyperlink" Target="https://login.consultant.ru/link/?req=doc&amp;base=LAW&amp;n=505143&amp;date=25.02.2026&amp;dst=100006&amp;field=134" TargetMode = "External"/><Relationship Id="rId14" Type="http://schemas.openxmlformats.org/officeDocument/2006/relationships/hyperlink" Target="https://login.consultant.ru/link/?req=doc&amp;base=LAW&amp;n=523312&amp;date=25.02.2026&amp;dst=1391&amp;field=134" TargetMode = "External"/><Relationship Id="rId15" Type="http://schemas.openxmlformats.org/officeDocument/2006/relationships/hyperlink" Target="https://login.consultant.ru/link/?req=doc&amp;base=LAW&amp;n=523312&amp;date=25.02.2026&amp;dst=1630&amp;field=134" TargetMode = "External"/><Relationship Id="rId16" Type="http://schemas.openxmlformats.org/officeDocument/2006/relationships/hyperlink" Target="https://login.consultant.ru/link/?req=doc&amp;base=LAW&amp;n=523312&amp;date=25.02.2026&amp;dst=1628&amp;field=134" TargetMode = "External"/><Relationship Id="rId17" Type="http://schemas.openxmlformats.org/officeDocument/2006/relationships/hyperlink" Target="https://login.consultant.ru/link/?req=doc&amp;base=LAW&amp;n=523312&amp;date=25.02.2026&amp;dst=138&amp;field=134" TargetMode = "External"/><Relationship Id="rId18" Type="http://schemas.openxmlformats.org/officeDocument/2006/relationships/hyperlink" Target="https://login.consultant.ru/link/?req=doc&amp;base=LAW&amp;n=523312&amp;date=25.02.2026&amp;dst=138&amp;field=134" TargetMode = "External"/><Relationship Id="rId19" Type="http://schemas.openxmlformats.org/officeDocument/2006/relationships/hyperlink" Target="https://login.consultant.ru/link/?req=doc&amp;base=LAW&amp;n=483045&amp;date=25.02.2026&amp;dst=100339&amp;field=134" TargetMode = "External"/><Relationship Id="rId20" Type="http://schemas.openxmlformats.org/officeDocument/2006/relationships/hyperlink" Target="https://login.consultant.ru/link/?req=doc&amp;base=LAW&amp;n=523312&amp;date=25.02.2026&amp;dst=101109&amp;field=134" TargetMode = "External"/><Relationship Id="rId21" Type="http://schemas.openxmlformats.org/officeDocument/2006/relationships/hyperlink" Target="https://login.consultant.ru/link/?req=doc&amp;base=LAW&amp;n=523312&amp;date=25.02.2026&amp;dst=100562&amp;field=134" TargetMode = "External"/><Relationship Id="rId22" Type="http://schemas.openxmlformats.org/officeDocument/2006/relationships/hyperlink" Target="https://login.consultant.ru/link/?req=doc&amp;base=LAW&amp;n=523312&amp;date=25.02.2026&amp;dst=1630&amp;field=134" TargetMode = "External"/><Relationship Id="rId23" Type="http://schemas.openxmlformats.org/officeDocument/2006/relationships/hyperlink" Target="https://login.consultant.ru/link/?req=doc&amp;base=LAW&amp;n=523312&amp;date=25.02.2026&amp;dst=1632&amp;field=134" TargetMode = "External"/><Relationship Id="rId24" Type="http://schemas.openxmlformats.org/officeDocument/2006/relationships/header" Target="header2.xml"/><Relationship Id="rId25" Type="http://schemas.openxmlformats.org/officeDocument/2006/relationships/footer" Target="footer2.xm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14.10.2022 N 687
(ред. от 02.04.2025)
"Об утверждении состава сведений, включаемых в таксационное описание лесосеки, порядка составления таксационного описания лесосеки, требований к его формату в электронной форме, порядка определения несоответствия таксационного описания информации о фактическом состоянии лесосеки, формы таксационного описания лесосеки"
(Зарегистрировано в Минюсте России 21.11.2022 N 71045)</dc:title>
  <dcterms:created xsi:type="dcterms:W3CDTF">2026-02-25T09:23:14Z</dcterms:created>
</cp:coreProperties>
</file>